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BE a DOC | Programa de Doutorado e Pesquisa Brasil – Europa</w:t>
        <w:br w:type="textWrapping"/>
        <w:t xml:space="preserve">BE a DOC 2017 </w:t>
        <w:br w:type="textWrapping"/>
        <w:t xml:space="preserve">CHAMADA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Esta convocação visa regular os processos de candidatura e seleção para os candidatos obterem uma colocação no Grupo Coimbra e nas universidades membros da CGBU no âmbito do programa BE a DOC, a partir de 2018.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CANDIDATOS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A. Os candidatos elegíveis são estudantes de doutorado, pesquisadores e professores do CG ou universidades membros da CGBU;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B. O aluno de doutorado deve estar matriculado em um programa de doutorado oferecido por um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Universidade associada do CG ou da CGBU e deve ter completado pelo menos o seu primeiro ano de estudos em sua instituição de origem;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C. Os pesquisadores / professores devem ter um contrato com sua instituição de origem;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D. Ser cidadão ou residente permanente de um dos países membros do CG ou de um residente permanente no Brasil;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E. Estudantes brasileiros que vivem na Europa e estudantes europeus que vivem no Brasil não estão qualificados para participar;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F. Os funcionários do CG ou da CGBU, ou qualquer pessoa com um contrato empregatício com essas redes no momento do pedido, não são elegíveis.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DATAS E ATIVIDADES ELEGÍVEIS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A. Os estudantes de doutorado, pesquisadores e professores devem realizar atividades de pesquisa de acordo com o plano de trabalho devidamente aprovado pelas instituições de origem e de acolhimento;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B. O período de mobilidade começará no segundo semestre do ano letivo 2017-2018 na Europa e no primeiro semestre do ano letivo de 2018 no Brasil, com especial referência ao calendário da instituição anfitriã, e terá uma duração máxima de 12 Meses.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INSTITUIÇÕES ELEGÍVEIS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Universidades membros do Grupo Coimbra (CG) ou universidades associadas da Grupo Coimbra de Universidades Brasileiras (CGBU) que ofereceram lugares no BE a DOC plataforma.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As universidades participantes e os lugares oferecidos serão disponibilizados na plataforma BE a DOC em http://www.beadoc.org/.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FORMAS DE APOIO NÃO FINANCEIRO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A. Este programa tem o objetivo de divulgar oportunidades de mobilidade de pesquisa na Europa e no Brasil, bem como a facilitar os contatos para obter a colocação de candidatos;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B. As bolsas de estudo ou o apoio financeiro não são concedidos no âmbito do programa BE a DOC;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C. Não obstante o ponto B), os candidatos com uma carta de aceitação podem solicitar uma bolsa de estudos de instituições de financiamento como CAPES, CNPq ou outros;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D. Algumas instituições anfitriãs podem prestar apoio aos estudantes, pesquisadores ou professores selecionados. Normalmente, essa forma de suporte pode incluir preços reduzidos em alojamentos e refeições. Esta informação deve ser especificada na plataforma BE a DOC na página da oferta acadêmica;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E. As taxas de inscrição não serão cobradas aos estudantes de doutorado, pesquisadores e professores participantes do Programa;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F. Acesso a aulas, salas de estudo, bibliotecas, laboratórios, restaurantes universitários e outros serviços universitários devem se dar nas mesmas condições que se aplicam aos outros estudantes, pesquisadores e / ou professores da universidade anfitriã.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IDIOMA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A. Ambos os estudantes de doutorado, pesquisadores e professores no âmbito do programa Be a DOC devem cumprir os requisitos de proficiência linguística da instituição anfitriã e, sempre que necessário, fornecer prova desse conhecimento;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B. Todos os documentos do pedido (plano de curso, cartas de recomendação, transcrição acadêmica de registros, etc.), excluindo documentos de identificação, devem ser redigidos em inglês.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PROCESSO DE APLICAÇÃO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A. Todos os candidatos devem fornecer prova de apoio explícito da instituição de origem para se candidatarem ao programa;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B. Os candidatos podem candidatar-se a até três opções de mobilidade diferentes;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C. Os pedidos devem conter os seguintes documentos; caso contrário podem ser rejeitados:</w:t>
      </w:r>
    </w:p>
    <w:p w:rsidR="00000000" w:rsidDel="00000000" w:rsidP="00000000" w:rsidRDefault="00000000" w:rsidRPr="00000000">
      <w:pPr>
        <w:pBdr/>
        <w:spacing w:line="276" w:lineRule="auto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- Formulário de inscrição on-line devidamente preenchido;</w:t>
      </w:r>
    </w:p>
    <w:p w:rsidR="00000000" w:rsidDel="00000000" w:rsidP="00000000" w:rsidRDefault="00000000" w:rsidRPr="00000000">
      <w:pPr>
        <w:pBdr/>
        <w:spacing w:line="276" w:lineRule="auto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- Cópia do documento de identificação (cartão de cidadão, passaporte ou documento de identidade nacional);</w:t>
      </w:r>
    </w:p>
    <w:p w:rsidR="00000000" w:rsidDel="00000000" w:rsidP="00000000" w:rsidRDefault="00000000" w:rsidRPr="00000000">
      <w:pPr>
        <w:pBdr/>
        <w:spacing w:line="276" w:lineRule="auto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- Transcrição acadêmica de registros - notas acadêmicas de graduação e de mestrado (requisito restrito aos alunos que se candidatam ao Doutorado de Intercâmbio Sanduíche);</w:t>
        <w:tab/>
      </w:r>
    </w:p>
    <w:p w:rsidR="00000000" w:rsidDel="00000000" w:rsidP="00000000" w:rsidRDefault="00000000" w:rsidRPr="00000000">
      <w:pPr>
        <w:pBdr/>
        <w:spacing w:line="276" w:lineRule="auto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- Documentos solicitados aos candidatos ao Doutorado Sanduíche: i) plano de trabalho em inglês; ii) carta do supervisor / diretor do curso, permitindo a participação no programa BE a DOC, de acordo com o modelo;</w:t>
      </w:r>
    </w:p>
    <w:p w:rsidR="00000000" w:rsidDel="00000000" w:rsidP="00000000" w:rsidRDefault="00000000" w:rsidRPr="00000000">
      <w:pPr>
        <w:pBdr/>
        <w:spacing w:line="276" w:lineRule="auto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- Documentos solicitados aos pesquisadores e professores: i) plano de trabalho em inglês; ii) carta do Diretor do Departamento ou Centro/Faculdade em que o pesquisador está trabalhando, permitindo a participação no programa BE a DOC, de acordo com o modelo;</w:t>
      </w:r>
    </w:p>
    <w:p w:rsidR="00000000" w:rsidDel="00000000" w:rsidP="00000000" w:rsidRDefault="00000000" w:rsidRPr="00000000">
      <w:pPr>
        <w:pBdr/>
        <w:spacing w:line="276" w:lineRule="auto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- Outros documentos exigidos na oferta acadêmica, de acordo com os requisitos declarado pelas universidades membros do Programa em www.beadoc.org;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D. Os pedidos são gratuitos e devem ser enviados usando o formulário disponível na plataforma online BE a DOC;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Prazo para apresentação do pedido: 15 de setembro de 2017, até a meia-noite (Horário oficial de Brasília).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Nota: recomenda-se que os candidatos não enviem sua aplicação no último dia, devido à sobrecarga do sistema, impedindo a apresentação da mesma.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F. O requerente é o único responsável pelas informações fornecidas;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G. Os aplicativos incompletos serão automaticamente excluídos;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H. Os documentos originais podem ser solicitados pelo CG / CGBU ou a instituição anfitriã a qualquer momento.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 7. PROCEDIMENTO DE SELEÇÃO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A. A verificação de elegibilidade dos pedidos será realizada pelo CG / CGBU, a fim de selecionar candidatos que atendam aos critérios de elegibilidade. Depois disso, o CG / CGBU irá publicar a lista de candidatos admissíveis;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B. O CG / CGBU enviará os pedidos válidos às universidades selecionadas como primeira opção pelos candidatos;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C. A aplicações que não forem selecionados na primeira opção devem ser enviadas pelo CG / CGBU às universidades selecionadas pelos candidatos como segunda e terceira opções, se houver vagas </w:t>
      </w:r>
      <w:r w:rsidDel="00000000" w:rsidR="00000000" w:rsidRPr="00000000">
        <w:rPr>
          <w:rtl w:val="0"/>
        </w:rPr>
        <w:t xml:space="preserve">não ocupadas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D. O coordenador institucional das universidades participantes no âmbito do programa BE a DOC deve coordenar internamente com os responsáveis ​​pelas ofertas acadêmicas, a fim de fornecer a análise e avaliação dos pedidos com base nos documentos apresentados pelos candidatos;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E. Os coordenadores institucionais na Europa e no Brasil devem enviar à Coordenação Geral do CG / CGBU, respectivamente, as informações relativas à avaliação das aplicações, de acordo com os prazos estabelecidos no calendário do Programa.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 8. RESULTADOS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O CG e o CGBU publicarão os resultados na plataforma do programa e irá contatar os candidatos selecionados para informá-los sobre a instituição para a qual eles foram aceitos, bem como o contato do coordenador institucional. 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 DEVERES E RESPONSABILIDADES DOS ESTUDANTES, INVESTIGADORES E PROFESSORES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A. Estar totalmente comprometido com as atividades do curso e respeitar as leis e regulamentos do mesmo tanto da universidade anfitriã como do país anfitrião;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B. Arca</w:t>
      </w:r>
      <w:r w:rsidDel="00000000" w:rsidR="00000000" w:rsidRPr="00000000">
        <w:rPr>
          <w:b w:val="1"/>
          <w:rtl w:val="0"/>
        </w:rPr>
        <w:t xml:space="preserve">r</w:t>
      </w:r>
      <w:r w:rsidDel="00000000" w:rsidR="00000000" w:rsidRPr="00000000">
        <w:rPr>
          <w:rtl w:val="0"/>
        </w:rPr>
        <w:t xml:space="preserve"> com todas as despesas relacionadas com a participação no Programa BE a DOC, tais como despesas pessoais, passagens aéreas, refeições, alojamento, taxas para serviços escolares (por exemplo, certificados), legalização de documentos, processo de visto e despacho, bem como quaisquer outros custos e despesas adicionais que não estejam explicitamente contemplados nesta chamada;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C. É obrigatório que estudantes, pesquisadores e professores selecionados sob o Programa providenciem um seguro de viagem internacional que inclua cobertura médica, laboratorial e hospitalar no território brasileiro (para estudantes, pesquisadores e professores europeus) ou território europeu (para estudantes brasileiros, pesquisadores e professores), bem como repatriamento de restos mortais;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D. Forneça toda a documentação necessária exigida por cada país para adquirir a autorização/permissão de residência nos países de acolhimento, nos prazos legais em vigor;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E. Envie para o CG / CGBU uma cópia da carta de aceitação, antes do início da mobilidade de saída;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F. Em caso de abandono/desistência, os candidatos devem informar imediatamente o CG / CGBU, bem como a instituição anfitriã, caso já tenham recebido a Carta de Aceitação.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10. DEVERES E RESPONSABILIDADES DAS INSTITUIÇÕES ANFITRIÃS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A. Fornecer à Coordenação Geral do CG / CGBU as informações sobre a avaliação das aplicações, nome e contato dos supervisores, se forem diferentes dos que estão incluídos na plataforma;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B. Enviar a carta de aceitação aos candidatos selecionados mencionando o período de mobilidade acordado;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C. Informar a Coordenação Geral do CG / CGBU sobre qualquer alteração no contato ou nome do coordenador institucional;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D. Fornecer todas as informações relevantes aos candidatos colocados de forma semelhante ao que é feito em relação a outros estudantes, pesquisadores / professores em mobilidade;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E. Enviar uma cópia da prova de chegada e partida para Coordenação Geral do CG / CGBU usando o modelo disponível na plataforma BE a DOC;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F. Emitir o certificado de participação no final do período de mobilidade.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11. DEVERES E RESPONSABILIDADES DO CG / CGBU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A. A Coordenação CG / CGBU é responsável pela recepção, avaliação e envio das aplicações validadas às instituições participantes, bem como pela publicação dos resultados.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12. DISPOSIÇÕES GERAIS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A. A inscrição do candidato implica na compreensão e aceitação final dos termos e regras estabelecidos nesta Chamada, a qual o candidato não pode ignorar;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B. O requerente é o único responsável pelas informações fornecidas. O CG / CGBU tem o direito de excluir qualquer candidato da fase de seleção se a documentação necessária for enviada, em qualquer etapa, com dados parciais, incorretos ou inconsistentes, ou fora dos prazos estabelecidos, bem como, se mais tarde, a informação for provada falsa.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13. CALENDÁRIO DO PROGRAMA BE a DOC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Datas de atividades: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De 10 de julho a 15 de setembro de 2017</w:t>
      </w:r>
      <w:r w:rsidDel="00000000" w:rsidR="00000000" w:rsidRPr="00000000">
        <w:rPr>
          <w:rtl w:val="0"/>
        </w:rPr>
        <w:t xml:space="preserve">: Abertura de Chamada na plataforma on-line: BE a DOC em www.beadoc.org.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2 de outubro de 2017</w:t>
      </w:r>
      <w:r w:rsidDel="00000000" w:rsidR="00000000" w:rsidRPr="00000000">
        <w:rPr>
          <w:rtl w:val="0"/>
        </w:rPr>
        <w:t xml:space="preserve">: publicação dos resultados das aplicações para as universidades anfitriãs.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6 de novembro de 2017</w:t>
      </w:r>
      <w:r w:rsidDel="00000000" w:rsidR="00000000" w:rsidRPr="00000000">
        <w:rPr>
          <w:rtl w:val="0"/>
        </w:rPr>
        <w:t xml:space="preserve">: publicação dos resultados relativos à primeira opção dos candidatos.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30 de novembro de 2017:</w:t>
      </w:r>
      <w:r w:rsidDel="00000000" w:rsidR="00000000" w:rsidRPr="00000000">
        <w:rPr>
          <w:rtl w:val="0"/>
        </w:rPr>
        <w:t xml:space="preserve"> Publicação dos resultados relativos à segunda e terceira opções dos candidatos.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Fevereiro de 2018</w:t>
      </w:r>
      <w:r w:rsidDel="00000000" w:rsidR="00000000" w:rsidRPr="00000000">
        <w:rPr>
          <w:rtl w:val="0"/>
        </w:rPr>
        <w:t xml:space="preserve">: Início do período de mobilidade para os candidatos colocados na sua primeira opção.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 14. OMISSÕES E INFORMAÇÕES ADICIONAIS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A. As circunstâncias não contempladas nesta Chamada serão decididas conjuntamente pela Coordenação Geral do Programa no CG e CGBU.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B. Informações adicionais podem ser solicitadas pelo endereço de e-mail: </w:t>
      </w:r>
      <w:hyperlink r:id="rId5">
        <w:r w:rsidDel="00000000" w:rsidR="00000000" w:rsidRPr="00000000">
          <w:rPr>
            <w:color w:val="000000"/>
            <w:u w:val="none"/>
            <w:rtl w:val="0"/>
          </w:rPr>
          <w:t xml:space="preserve">cg.beadoc@uc.pt</w:t>
        </w:r>
      </w:hyperlink>
      <w:r w:rsidDel="00000000" w:rsidR="00000000" w:rsidRPr="00000000">
        <w:rPr>
          <w:rtl w:val="0"/>
        </w:rPr>
        <w:t xml:space="preserve"> (CG) e coordbe_doc_gcub@grupocoimbra.org.br (CGBU). </w:t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cg.beadoc@uc.pt" TargetMode="External"/></Relationships>
</file>